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E63B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دورسبان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E63B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AE63B4">
              <w:rPr>
                <w:rFonts w:cs="Arial"/>
                <w:b/>
                <w:bCs/>
                <w:sz w:val="28"/>
                <w:szCs w:val="28"/>
              </w:rPr>
              <w:t>Dursban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AE63B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E63B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E63B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E63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AE63B4">
              <w:rPr>
                <w:rFonts w:cs="B Mitra"/>
                <w:sz w:val="28"/>
                <w:szCs w:val="28"/>
              </w:rPr>
              <w:t>C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F75EA5" w:rsidRPr="00AE63B4">
              <w:rPr>
                <w:rFonts w:cs="B Mitra"/>
                <w:sz w:val="28"/>
                <w:szCs w:val="28"/>
              </w:rPr>
              <w:t>H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11</w:t>
            </w:r>
            <w:r w:rsidR="00F75EA5" w:rsidRPr="00AE63B4">
              <w:rPr>
                <w:rFonts w:cs="B Mitra"/>
                <w:sz w:val="28"/>
                <w:szCs w:val="28"/>
              </w:rPr>
              <w:t>Cl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75EA5" w:rsidRPr="00AE63B4">
              <w:rPr>
                <w:rFonts w:cs="B Mitra"/>
                <w:sz w:val="28"/>
                <w:szCs w:val="28"/>
              </w:rPr>
              <w:t>NO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75EA5" w:rsidRPr="00AE63B4">
              <w:rPr>
                <w:rFonts w:cs="B Mitra"/>
                <w:sz w:val="28"/>
                <w:szCs w:val="28"/>
              </w:rPr>
              <w:t>PS</w:t>
            </w:r>
          </w:p>
          <w:p w:rsidR="00275E0D" w:rsidRPr="00AE63B4" w:rsidRDefault="00BC3AA5" w:rsidP="00F75EA5">
            <w:pPr>
              <w:rPr>
                <w:rFonts w:cs="B Mitra"/>
                <w:sz w:val="28"/>
                <w:szCs w:val="28"/>
                <w:rtl/>
              </w:rPr>
            </w:pPr>
            <w:r w:rsidRPr="00AE63B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E63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E63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AE63B4">
              <w:rPr>
                <w:rFonts w:cs="B Mitra"/>
                <w:sz w:val="28"/>
                <w:szCs w:val="28"/>
                <w:rtl/>
              </w:rPr>
              <w:t>58</w:t>
            </w:r>
            <w:r w:rsidR="002B6596" w:rsidRPr="00AE63B4">
              <w:rPr>
                <w:rFonts w:cs="B Mitra"/>
                <w:sz w:val="28"/>
                <w:szCs w:val="28"/>
                <w:rtl/>
              </w:rPr>
              <w:t>/</w:t>
            </w:r>
            <w:r w:rsidR="00F75EA5" w:rsidRPr="00AE63B4">
              <w:rPr>
                <w:rFonts w:cs="B Mitra"/>
                <w:sz w:val="28"/>
                <w:szCs w:val="28"/>
                <w:rtl/>
              </w:rPr>
              <w:t>350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E63B4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E63B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E63B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E63B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E63B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 w:rsidRPr="00AE63B4">
              <w:rPr>
                <w:rFonts w:cs="B Mitra"/>
                <w:sz w:val="28"/>
                <w:szCs w:val="28"/>
              </w:rPr>
              <w:t>921-88-2</w:t>
            </w:r>
          </w:p>
          <w:p w:rsidR="00BC3AA5" w:rsidRPr="00AE63B4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E63B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E63B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75EA5" w:rsidRPr="00AE63B4">
              <w:rPr>
                <w:rFonts w:cs="B Mitra"/>
                <w:sz w:val="28"/>
                <w:szCs w:val="28"/>
              </w:rPr>
              <w:t>TF6300000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AE63B4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E63B4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F75EA5" w:rsidRPr="00AE63B4">
              <w:rPr>
                <w:rFonts w:cs="B Mitra"/>
                <w:sz w:val="28"/>
                <w:szCs w:val="28"/>
              </w:rPr>
              <w:t>(C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75EA5" w:rsidRPr="00AE63B4">
              <w:rPr>
                <w:rFonts w:cs="B Mitra"/>
                <w:sz w:val="28"/>
                <w:szCs w:val="28"/>
              </w:rPr>
              <w:t>H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75EA5" w:rsidRPr="00AE63B4">
              <w:rPr>
                <w:rFonts w:cs="B Mitra"/>
                <w:sz w:val="28"/>
                <w:szCs w:val="28"/>
              </w:rPr>
              <w:t>O)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75EA5" w:rsidRPr="00AE63B4">
              <w:rPr>
                <w:rFonts w:cs="B Mitra"/>
                <w:sz w:val="28"/>
                <w:szCs w:val="28"/>
              </w:rPr>
              <w:t xml:space="preserve">P(=S)O(C 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F75EA5" w:rsidRPr="00AE63B4">
              <w:rPr>
                <w:rFonts w:cs="B Mitra"/>
                <w:sz w:val="28"/>
                <w:szCs w:val="28"/>
              </w:rPr>
              <w:t>HN)Cl</w:t>
            </w:r>
            <w:r w:rsidR="00F75EA5" w:rsidRPr="00AE63B4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Default="00DC62BE" w:rsidP="00F75EA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>
              <w:rPr>
                <w:rFonts w:cs="B Mitra" w:hint="cs"/>
                <w:b/>
                <w:bCs/>
                <w:sz w:val="28"/>
                <w:szCs w:val="28"/>
                <w:rtl/>
              </w:rPr>
              <w:t>دیگر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63B4">
              <w:rPr>
                <w:rFonts w:cs="B Mitra"/>
                <w:sz w:val="28"/>
                <w:szCs w:val="28"/>
                <w:rtl/>
              </w:rPr>
              <w:t>کلرپیرفوز</w:t>
            </w:r>
            <w:r w:rsidR="00AE63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E6C7B">
              <w:rPr>
                <w:rFonts w:cs="B Mitra" w:hint="cs"/>
                <w:sz w:val="28"/>
                <w:szCs w:val="28"/>
                <w:rtl/>
              </w:rPr>
              <w:t>؛</w:t>
            </w:r>
          </w:p>
          <w:p w:rsidR="00DC62BE" w:rsidRPr="00F75EA5" w:rsidRDefault="00EE6C7B" w:rsidP="00EE6C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F75EA5" w:rsidRPr="00F75EA5">
              <w:rPr>
                <w:rFonts w:cs="Arial"/>
                <w:sz w:val="28"/>
                <w:szCs w:val="28"/>
              </w:rPr>
              <w:t>Phosphorothioic</w:t>
            </w:r>
            <w:proofErr w:type="spellEnd"/>
            <w:r w:rsidR="00F75EA5" w:rsidRPr="00F75EA5">
              <w:rPr>
                <w:rFonts w:cs="Arial"/>
                <w:sz w:val="28"/>
                <w:szCs w:val="28"/>
              </w:rPr>
              <w:t xml:space="preserve"> acid, O,O-diethyl O-(3,5,6-trichloro-2-pyridinyl)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F75EA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42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-</w:t>
            </w:r>
            <w:r w:rsidR="00F75EA5">
              <w:rPr>
                <w:rFonts w:cs="B Mitra" w:hint="cs"/>
                <w:sz w:val="28"/>
                <w:szCs w:val="28"/>
                <w:rtl/>
              </w:rPr>
              <w:t>42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vertAlign w:val="superscript"/>
                <w:rtl/>
              </w:rPr>
              <w:t>5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87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0025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5EA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275E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AE63B4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دورسبان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AE63B4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دورسبان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فلورواتیلن در محل نگه داشته می شود. بخش جلویی لوله با استفاده از  یک لایه فوم پلی اورتان از بخش عقبی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63B4">
              <w:rPr>
                <w:rFonts w:cs="B Mitra"/>
                <w:color w:val="000000" w:themeColor="text1"/>
                <w:sz w:val="28"/>
                <w:szCs w:val="28"/>
                <w:rtl/>
              </w:rPr>
              <w:t>دورسبان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 xml:space="preserve">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E63B4">
              <w:rPr>
                <w:rFonts w:cs="B Mitra"/>
                <w:color w:val="000000" w:themeColor="text1"/>
                <w:sz w:val="28"/>
                <w:szCs w:val="28"/>
                <w:rtl/>
              </w:rPr>
              <w:t>دورسبان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AE63B4">
              <w:rPr>
                <w:rFonts w:cs="B Mitra"/>
                <w:color w:val="000000" w:themeColor="text1"/>
                <w:sz w:val="28"/>
                <w:szCs w:val="28"/>
                <w:rtl/>
              </w:rPr>
              <w:t>دورسبان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AE63B4">
              <w:rPr>
                <w:rFonts w:cs="B Mitra"/>
                <w:color w:val="000000" w:themeColor="text1"/>
                <w:sz w:val="28"/>
                <w:szCs w:val="28"/>
                <w:rtl/>
              </w:rPr>
              <w:t>دورسبان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AE63B4">
              <w:rPr>
                <w:rFonts w:cs="B Mitra"/>
                <w:color w:val="000000" w:themeColor="text1"/>
                <w:sz w:val="28"/>
                <w:szCs w:val="28"/>
                <w:rtl/>
              </w:rPr>
              <w:t>دورسبان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E63B4">
              <w:rPr>
                <w:rFonts w:cs="B Mitra"/>
                <w:sz w:val="24"/>
                <w:szCs w:val="24"/>
                <w:rtl/>
              </w:rPr>
              <w:t>دورسبان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F75EA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F75EA5">
              <w:rPr>
                <w:rFonts w:cs="B Mitra" w:hint="cs"/>
                <w:sz w:val="24"/>
                <w:szCs w:val="24"/>
                <w:rtl/>
              </w:rPr>
              <w:t>11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F75EA5">
              <w:rPr>
                <w:rFonts w:cs="B Mitra" w:hint="cs"/>
                <w:sz w:val="24"/>
                <w:szCs w:val="24"/>
                <w:rtl/>
              </w:rPr>
              <w:t>29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E63B4">
              <w:rPr>
                <w:rFonts w:cs="B Mitra"/>
                <w:sz w:val="28"/>
                <w:szCs w:val="28"/>
                <w:rtl/>
              </w:rPr>
              <w:t>دورسبان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94280C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94280C">
      <w:footerReference w:type="default" r:id="rId7"/>
      <w:pgSz w:w="11906" w:h="16838"/>
      <w:pgMar w:top="1440" w:right="1440" w:bottom="1440" w:left="1440" w:header="708" w:footer="708" w:gutter="0"/>
      <w:pgNumType w:start="9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26" w:rsidRDefault="003E1F26" w:rsidP="0094280C">
      <w:pPr>
        <w:spacing w:line="240" w:lineRule="auto"/>
      </w:pPr>
      <w:r>
        <w:separator/>
      </w:r>
    </w:p>
  </w:endnote>
  <w:endnote w:type="continuationSeparator" w:id="0">
    <w:p w:rsidR="003E1F26" w:rsidRDefault="003E1F26" w:rsidP="0094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333224"/>
      <w:docPartObj>
        <w:docPartGallery w:val="Page Numbers (Bottom of Page)"/>
        <w:docPartUnique/>
      </w:docPartObj>
    </w:sdtPr>
    <w:sdtContent>
      <w:p w:rsidR="0094280C" w:rsidRDefault="0094280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949</w:t>
          </w:r>
        </w:fldSimple>
      </w:p>
    </w:sdtContent>
  </w:sdt>
  <w:p w:rsidR="0094280C" w:rsidRDefault="00942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26" w:rsidRDefault="003E1F26" w:rsidP="0094280C">
      <w:pPr>
        <w:spacing w:line="240" w:lineRule="auto"/>
      </w:pPr>
      <w:r>
        <w:separator/>
      </w:r>
    </w:p>
  </w:footnote>
  <w:footnote w:type="continuationSeparator" w:id="0">
    <w:p w:rsidR="003E1F26" w:rsidRDefault="003E1F26" w:rsidP="00942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7241F"/>
    <w:rsid w:val="00373903"/>
    <w:rsid w:val="00386335"/>
    <w:rsid w:val="003A1204"/>
    <w:rsid w:val="003B7457"/>
    <w:rsid w:val="003E1F26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4280C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AE63B4"/>
    <w:rsid w:val="00B02761"/>
    <w:rsid w:val="00B73DC7"/>
    <w:rsid w:val="00BC3AA5"/>
    <w:rsid w:val="00BE0CBA"/>
    <w:rsid w:val="00C84FEB"/>
    <w:rsid w:val="00C87B09"/>
    <w:rsid w:val="00CB2725"/>
    <w:rsid w:val="00D736FE"/>
    <w:rsid w:val="00D877EB"/>
    <w:rsid w:val="00DC263A"/>
    <w:rsid w:val="00DC62BE"/>
    <w:rsid w:val="00DE3D8B"/>
    <w:rsid w:val="00E05C5D"/>
    <w:rsid w:val="00E12906"/>
    <w:rsid w:val="00E14275"/>
    <w:rsid w:val="00EE6C7B"/>
    <w:rsid w:val="00F41B21"/>
    <w:rsid w:val="00F47F62"/>
    <w:rsid w:val="00F704A9"/>
    <w:rsid w:val="00F748A8"/>
    <w:rsid w:val="00F75EA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8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80C"/>
  </w:style>
  <w:style w:type="paragraph" w:styleId="Footer">
    <w:name w:val="footer"/>
    <w:basedOn w:val="Normal"/>
    <w:link w:val="FooterChar"/>
    <w:uiPriority w:val="99"/>
    <w:unhideWhenUsed/>
    <w:rsid w:val="009428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2011-10-07T23:40:00Z</dcterms:modified>
</cp:coreProperties>
</file>